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68"/>
        <w:gridCol w:w="2646"/>
        <w:gridCol w:w="222"/>
        <w:gridCol w:w="3066"/>
        <w:gridCol w:w="2856"/>
        <w:gridCol w:w="222"/>
      </w:tblGrid>
      <w:tr>
        <w:tblPrEx>
          <w:shd w:val="clear" w:color="auto" w:fill="cdd4e9"/>
        </w:tblPrEx>
        <w:trPr>
          <w:trHeight w:val="1173" w:hRule="atLeast"/>
        </w:trPr>
        <w:tc>
          <w:tcPr>
            <w:tcW w:type="dxa" w:w="1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200" w:line="276" w:lineRule="auto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</w:rPr>
              <w:drawing>
                <wp:inline distT="0" distB="0" distL="0" distR="0">
                  <wp:extent cx="1122681" cy="886479"/>
                  <wp:effectExtent l="0" t="0" r="0" b="0"/>
                  <wp:docPr id="1073741825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1" cy="8864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200" w:line="276" w:lineRule="auto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drawing>
                <wp:inline distT="0" distB="0" distL="0" distR="0">
                  <wp:extent cx="1536065" cy="445135"/>
                  <wp:effectExtent l="0" t="0" r="0" b="0"/>
                  <wp:docPr id="1073741826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445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200" w:line="276" w:lineRule="auto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</w:rPr>
              <w:drawing>
                <wp:inline distT="0" distB="0" distL="0" distR="0">
                  <wp:extent cx="1805940" cy="494030"/>
                  <wp:effectExtent l="0" t="0" r="0" b="0"/>
                  <wp:docPr id="1073741827" name="officeArt object" descr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4940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200" w:line="276" w:lineRule="auto"/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  <w:drawing>
                <wp:inline distT="0" distB="0" distL="0" distR="0">
                  <wp:extent cx="1676400" cy="83502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835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  <w:spacing w:after="200" w:line="276" w:lineRule="auto"/>
        <w:jc w:val="center"/>
        <w:rPr>
          <w:rFonts w:ascii="Times New Roman" w:hAnsi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</w:rPr>
        <w:drawing>
          <wp:inline distT="0" distB="0" distL="0" distR="0">
            <wp:extent cx="1706880" cy="1706880"/>
            <wp:effectExtent l="0" t="0" r="0" b="0"/>
            <wp:docPr id="1073741829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International Colloquium </w:t>
      </w:r>
    </w:p>
    <w:p>
      <w:pPr>
        <w:pStyle w:val="Corps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Corps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>Droit et culture : Regards crois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fr-FR"/>
        </w:rPr>
        <w:t>s pluridisciplinaires sur la fin de vie.</w:t>
      </w:r>
    </w:p>
    <w:p>
      <w:pPr>
        <w:pStyle w:val="Corps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de-DE"/>
        </w:rPr>
        <w:t>Recht und Kultur: Multidisziplin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de-DE"/>
        </w:rPr>
        <w:t>ä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de-DE"/>
        </w:rPr>
        <w:t>re Untersuchung der Sterbebegleitung</w:t>
      </w:r>
    </w:p>
    <w:p>
      <w:pPr>
        <w:pStyle w:val="Corps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Law and Culture: Multidisciplinary cross-fertilization of views on the end of life</w:t>
      </w:r>
    </w:p>
    <w:p>
      <w:pPr>
        <w:pStyle w:val="Corps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</w:p>
    <w:p>
      <w:pPr>
        <w:pStyle w:val="Corps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10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11 March 2020</w:t>
      </w:r>
    </w:p>
    <w:p>
      <w:pPr>
        <w:pStyle w:val="Corps"/>
        <w:rPr>
          <w:rFonts w:ascii="Times New Roman" w:cs="Times New Roman" w:hAnsi="Times New Roman" w:eastAsia="Times New Roman"/>
          <w:b w:val="1"/>
          <w:bCs w:val="1"/>
          <w:color w:val="2f5897"/>
          <w:sz w:val="24"/>
          <w:szCs w:val="24"/>
          <w:u w:color="2f5897"/>
          <w:lang w:val="en-US"/>
        </w:rPr>
      </w:pPr>
    </w:p>
    <w:p>
      <w:pPr>
        <w:pStyle w:val="footer"/>
        <w:spacing w:after="120"/>
        <w:jc w:val="center"/>
        <w:rPr>
          <w:rStyle w:val="Strong"/>
        </w:rPr>
      </w:pPr>
      <w:r>
        <w:rPr>
          <w:rtl w:val="0"/>
          <w:lang w:val="en-US"/>
        </w:rPr>
        <w:t>Reporting, Registration and Welcome at 9:00-9:15 AM</w:t>
      </w:r>
      <w:r>
        <w:rPr>
          <w:rStyle w:val="Strong"/>
          <w:rtl w:val="0"/>
          <w:lang w:val="en-US"/>
        </w:rPr>
        <w:t xml:space="preserve">. </w:t>
      </w:r>
    </w:p>
    <w:p>
      <w:pPr>
        <w:pStyle w:val="footer"/>
        <w:spacing w:after="120"/>
        <w:jc w:val="center"/>
        <w:rPr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Venue 10 March 2020:</w:t>
      </w:r>
      <w:r>
        <w:rPr>
          <w:rtl w:val="0"/>
          <w:lang w:val="fr-FR"/>
        </w:rPr>
        <w:t xml:space="preserve"> Institut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Etudes Avanc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</w:t>
      </w:r>
    </w:p>
    <w:p>
      <w:pPr>
        <w:pStyle w:val="footer"/>
        <w:spacing w:after="120"/>
        <w:jc w:val="center"/>
        <w:rPr>
          <w:lang w:val="fr-FR"/>
        </w:rPr>
      </w:pPr>
      <w:r>
        <w:rPr>
          <w:rtl w:val="0"/>
          <w:lang w:val="fr-FR"/>
        </w:rPr>
        <w:t>H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tel de Lauzun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>17 quai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Anjou</w:t>
      </w:r>
      <w:r>
        <w:rPr>
          <w:rtl w:val="0"/>
          <w:lang w:val="fr-FR"/>
        </w:rPr>
        <w:t xml:space="preserve">, </w:t>
      </w:r>
      <w:r>
        <w:rPr>
          <w:rtl w:val="0"/>
          <w:lang w:val="fr-FR"/>
        </w:rPr>
        <w:t>75004 Paris</w:t>
      </w:r>
    </w:p>
    <w:p>
      <w:pPr>
        <w:pStyle w:val="footer"/>
        <w:spacing w:after="120"/>
        <w:jc w:val="center"/>
        <w:rPr>
          <w:lang w:val="fr-FR"/>
        </w:rPr>
      </w:pPr>
    </w:p>
    <w:p>
      <w:pPr>
        <w:pStyle w:val="footer"/>
        <w:spacing w:after="120"/>
        <w:jc w:val="center"/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Venue 11 March 2020</w:t>
      </w:r>
      <w:r>
        <w:rPr>
          <w:rFonts w:ascii="Calibri" w:cs="Calibri" w:hAnsi="Calibri" w:eastAsia="Calibri"/>
          <w:rtl w:val="0"/>
          <w:lang w:val="fr-FR"/>
        </w:rPr>
        <w:t>: Universit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  <w:lang w:val="fr-FR"/>
        </w:rPr>
        <w:t>Paris Nanterre, b</w:t>
      </w:r>
      <w:r>
        <w:rPr>
          <w:rFonts w:ascii="Calibri" w:cs="Calibri" w:hAnsi="Calibri" w:eastAsia="Calibri"/>
          <w:rtl w:val="0"/>
          <w:lang w:val="fr-FR"/>
        </w:rPr>
        <w:t>â</w:t>
      </w:r>
      <w:r>
        <w:rPr>
          <w:rFonts w:ascii="Calibri" w:cs="Calibri" w:hAnsi="Calibri" w:eastAsia="Calibri"/>
          <w:rtl w:val="0"/>
          <w:lang w:val="fr-FR"/>
        </w:rPr>
        <w:t>timent Max Weber</w:t>
      </w:r>
    </w:p>
    <w:p>
      <w:pPr>
        <w:pStyle w:val="footer"/>
        <w:spacing w:after="120"/>
        <w:jc w:val="center"/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200, avenue de la 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publique,</w:t>
      </w:r>
      <w:r>
        <w:rPr>
          <w:rFonts w:ascii="Calibri" w:cs="Calibri" w:hAnsi="Calibri" w:eastAsia="Calibri"/>
          <w:rtl w:val="0"/>
          <w:lang w:val="fr-FR"/>
        </w:rPr>
        <w:t xml:space="preserve"> </w:t>
      </w:r>
      <w:r>
        <w:rPr>
          <w:rFonts w:ascii="Calibri" w:cs="Calibri" w:hAnsi="Calibri" w:eastAsia="Calibri"/>
          <w:rtl w:val="0"/>
          <w:lang w:val="fr-FR"/>
        </w:rPr>
        <w:t>92001 Nanterre Cedex 01</w:t>
      </w:r>
    </w:p>
    <w:p>
      <w:pPr>
        <w:pStyle w:val="footer"/>
        <w:spacing w:after="120"/>
        <w:jc w:val="center"/>
        <w:rPr>
          <w:rFonts w:ascii="Calibri" w:cs="Calibri" w:hAnsi="Calibri" w:eastAsia="Calibri"/>
          <w:lang w:val="fr-FR"/>
        </w:rPr>
      </w:pPr>
    </w:p>
    <w:p>
      <w:pPr>
        <w:pStyle w:val="footer"/>
        <w:spacing w:after="120"/>
        <w:jc w:val="center"/>
        <w:rPr>
          <w:rFonts w:ascii="Calibri" w:cs="Calibri" w:hAnsi="Calibri" w:eastAsia="Calibri"/>
          <w:b w:val="1"/>
          <w:bCs w:val="1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Entr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 libre, mais inscription obligatoire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: </w:t>
      </w:r>
    </w:p>
    <w:p>
      <w:pPr>
        <w:pStyle w:val="footer"/>
        <w:spacing w:after="120"/>
        <w:jc w:val="center"/>
        <w:rPr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https://www.paris-iea.fr/fr/evenements/droit-et-culture-regards-croises-pluridisciplinaires-sur-la-fin-de-vie</w:t>
      </w:r>
    </w:p>
    <w:p>
      <w:pPr>
        <w:pStyle w:val="Corps"/>
        <w:spacing w:after="200" w:line="276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spacing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color w:val="2f5897"/>
          <w:sz w:val="24"/>
          <w:szCs w:val="24"/>
          <w:u w:color="2f5897"/>
          <w:shd w:val="clear" w:color="auto" w:fill="c0c0c0"/>
        </w:rPr>
      </w:pPr>
      <w:r>
        <w:rPr>
          <w:rFonts w:ascii="Times New Roman" w:hAnsi="Times New Roman"/>
          <w:b w:val="1"/>
          <w:bCs w:val="1"/>
          <w:color w:val="2f5897"/>
          <w:sz w:val="24"/>
          <w:szCs w:val="24"/>
          <w:u w:color="2f5897"/>
          <w:shd w:val="clear" w:color="auto" w:fill="c0c0c0"/>
          <w:rtl w:val="0"/>
          <w:lang w:val="en-US"/>
        </w:rPr>
        <w:t>Day 1: 10 March 2020</w:t>
      </w: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en-US"/>
        </w:rPr>
        <w:t>Session-01</w:t>
        <w:tab/>
        <w:t xml:space="preserve">Inaugural Session </w:t>
        <w:tab/>
        <w:tab/>
        <w:t xml:space="preserve">[0900-0930 Hrs] </w:t>
        <w:tab/>
        <w:tab/>
        <w:t xml:space="preserve">Venue: IEA, Paris  </w:t>
      </w: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  <w:lang w:val="en-US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81"/>
        <w:gridCol w:w="3429"/>
        <w:gridCol w:w="4552"/>
      </w:tblGrid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  <w:jc w:val="both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0900-0915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  <w:rPr>
                <w:rFonts w:ascii="Arial Narrow" w:cs="Arial Narrow" w:hAnsi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Registration of the participants,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Inscription des participants,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Begr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en-US"/>
              </w:rPr>
              <w:t>ü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ssung der Teilnehmer,</w:t>
            </w:r>
            <w:r>
              <w:rPr>
                <w:rFonts w:ascii="Arial Narrow" w:cs="Arial Narrow" w:hAnsi="Arial Narrow" w:eastAsia="Arial Narrow"/>
                <w:sz w:val="20"/>
                <w:szCs w:val="20"/>
              </w:rPr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0915-0930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  <w:rPr>
                <w:rFonts w:ascii="Arial Narrow" w:cs="Arial Narrow" w:hAnsi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Thematic Introduction of the Conference,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sz w:val="20"/>
                <w:szCs w:val="20"/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Introduction th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matique,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Einf</w:t>
            </w:r>
            <w:r>
              <w:rPr>
                <w:rFonts w:ascii="Arial Narrow" w:hAnsi="Arial Narrow" w:hint="default"/>
                <w:sz w:val="20"/>
                <w:szCs w:val="20"/>
                <w:rtl w:val="0"/>
                <w:lang w:val="en-US"/>
              </w:rPr>
              <w:t>ü</w:t>
            </w: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hrung in die Thematik</w:t>
            </w:r>
          </w:p>
        </w:tc>
        <w:tc>
          <w:tcPr>
            <w:tcW w:type="dxa" w:w="4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  <w:rPr>
                <w:rFonts w:ascii="Arial Narrow" w:cs="Arial Narrow" w:hAnsi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Prof. Stephanie Rohlfing-Dijoux, Prof. Uwe Hellmann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Conference Co-Chairs</w:t>
            </w:r>
          </w:p>
        </w:tc>
      </w:tr>
    </w:tbl>
    <w:p>
      <w:pPr>
        <w:pStyle w:val="Corps"/>
        <w:widowControl w:val="0"/>
        <w:spacing w:after="120" w:line="240" w:lineRule="auto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en-US"/>
        </w:rPr>
        <w:t>Session-02</w:t>
        <w:tab/>
        <w:t>Plenary Session</w:t>
        <w:tab/>
        <w:tab/>
        <w:t>[1000-1200 Hrs]</w:t>
        <w:tab/>
        <w:tab/>
        <w:t xml:space="preserve">Venue: IEA, Paris </w:t>
      </w: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27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20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The Place of Death in our Societies: Constitutional Right to Life / or Dignified Death / Medicalization of Death / Religious Influence</w:t>
            </w:r>
          </w:p>
          <w:p>
            <w:pPr>
              <w:pStyle w:val="Corps"/>
              <w:bidi w:val="0"/>
              <w:spacing w:after="20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La place de la mort dans nos soci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 xml:space="preserve">s: Droit constitutionnel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 xml:space="preserve">la vie / ou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la mort digne/ M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 xml:space="preserve">dicalisation de la mort/ Influence religieuse </w:t>
            </w:r>
          </w:p>
          <w:p>
            <w:pPr>
              <w:pStyle w:val="Corps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Der Platz des Todes in unserer Gesellschaft: Verfassungsrechtlich garantiertes Recht auf W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rde im Leben und im Tod, Medikalisierung des Todes, Religi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2f5897"/>
                <w:spacing w:val="0"/>
                <w:kern w:val="0"/>
                <w:position w:val="0"/>
                <w:sz w:val="24"/>
                <w:szCs w:val="24"/>
                <w:u w:val="none" w:color="2f5897"/>
                <w:vertAlign w:val="baseline"/>
                <w:rtl w:val="0"/>
                <w:lang w:val="en-US"/>
              </w:rPr>
              <w:t>ser Einfluss auf die Gesetzgebung.</w:t>
            </w:r>
          </w:p>
        </w:tc>
      </w:tr>
    </w:tbl>
    <w:p>
      <w:pPr>
        <w:pStyle w:val="Corps"/>
        <w:widowControl w:val="0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Chair</w:t>
      </w:r>
      <w:r>
        <w:rPr>
          <w:rFonts w:ascii="Arial Narrow" w:hAnsi="Arial Narrow"/>
          <w:rtl w:val="0"/>
        </w:rPr>
        <w:t xml:space="preserve">: </w:t>
      </w:r>
      <w:r>
        <w:rPr>
          <w:rFonts w:ascii="Arial Narrow" w:hAnsi="Arial Narrow"/>
          <w:b w:val="1"/>
          <w:bCs w:val="1"/>
          <w:rtl w:val="0"/>
          <w:lang w:val="de-DE"/>
        </w:rPr>
        <w:t>Prof. Uwe Hellmann</w:t>
      </w: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</w:rPr>
      </w:pPr>
      <w:r>
        <w:rPr>
          <w:rFonts w:ascii="Book Antiqua" w:hAnsi="Book Antiqua"/>
          <w:rtl w:val="0"/>
        </w:rPr>
        <w:t xml:space="preserve"> 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04"/>
        <w:gridCol w:w="5012"/>
        <w:gridCol w:w="2546"/>
      </w:tblGrid>
      <w:tr>
        <w:tblPrEx>
          <w:shd w:val="clear" w:color="auto" w:fill="cdd4e9"/>
        </w:tblPrEx>
        <w:trPr>
          <w:trHeight w:val="205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0930-0950</w:t>
            </w:r>
          </w:p>
        </w:tc>
        <w:tc>
          <w:tcPr>
            <w:tcW w:type="dxa" w:w="5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End-of-life discourses from philosophy to politics; historical dynamics and contemporary perspectives;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Les discours sur la fin de vie de la philosophie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politique; dynamiques historiques et perspectives contemporaines;.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End-of-Life-Diskurse von der Philosophie bis zur Politik; historische Dynamiken und zeitgen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ö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ssische Perspektiven.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Mesmin d'Estienne, Jeanne,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Assistant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Paris V - Sorbonne Cit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133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0950-1010</w:t>
            </w:r>
          </w:p>
        </w:tc>
        <w:tc>
          <w:tcPr>
            <w:tcW w:type="dxa" w:w="5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Philosophical aspects of the end of life;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Aspects philosophiques de la fin de vie;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Philosophische ASpekte des Lebensendes.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Guillaume Le Blanc,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Paris 7 Diderot</w:t>
            </w:r>
          </w:p>
        </w:tc>
      </w:tr>
      <w:tr>
        <w:tblPrEx>
          <w:shd w:val="clear" w:color="auto" w:fill="cdd4e9"/>
        </w:tblPrEx>
        <w:trPr>
          <w:trHeight w:val="205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1010-1030</w:t>
            </w:r>
          </w:p>
        </w:tc>
        <w:tc>
          <w:tcPr>
            <w:tcW w:type="dxa" w:w="5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Influence of Bioethics on End-of-Life Legislation - Was Aldous Huxley a visionary?;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influence de la bio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thique sur la 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gislation de fin de vie - Aldous Huxley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tait-il visionnaire?;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Der einfluss der Bioehtik auf ide Gesetzgebung der Sterbehilfe - War Aldous Huxley ein Vision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r?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Florence Bellivier,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Paris Nanterre</w:t>
            </w:r>
          </w:p>
        </w:tc>
      </w:tr>
      <w:tr>
        <w:tblPrEx>
          <w:shd w:val="clear" w:color="auto" w:fill="cdd4e9"/>
        </w:tblPrEx>
        <w:trPr>
          <w:trHeight w:val="217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1030 - 1050</w:t>
            </w:r>
          </w:p>
        </w:tc>
        <w:tc>
          <w:tcPr>
            <w:tcW w:type="dxa" w:w="5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case law of the Federal Constitutional Court on end-of-life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jurisprudence de la cour constitutionnelle f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rale sur 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aide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mourir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Die Rechtsprechung des Bundesverfassungsgerichts zur Sterbehilfe.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Prof. Michael Eichberger, ehemaliger Richter am BVerfG, ancien juge de la Cour constitutionnelle f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rale; 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Eberhard Karls University 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bingen 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dd4e9"/>
        </w:tblPrEx>
        <w:trPr>
          <w:trHeight w:val="229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1050-1110</w:t>
            </w:r>
          </w:p>
        </w:tc>
        <w:tc>
          <w:tcPr>
            <w:tcW w:type="dxa" w:w="5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Resource-intensive Life Sustaining Treatments in a Resource-finite Healthcare Environment;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Quelles ressources pour les traitements de maintien de la vie dans un syst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è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 de soins de sant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dans lequel les moyens sont limit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s.?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Ressourcenintensive, lebenserhaltende Behandlungen in einer ressourcenbeschr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nkten Gesundheitsumgebung.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Richard Law, Associate Specialist in Acute Medicine at the University hospitals Morecambe Bay NHS Foundation Trust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1110-1200</w:t>
            </w:r>
          </w:p>
        </w:tc>
        <w:tc>
          <w:tcPr>
            <w:tcW w:type="dxa" w:w="5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Discussion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jc w:val="both"/>
        <w:rPr>
          <w:rFonts w:ascii="Arial Narrow" w:cs="Arial Narrow" w:hAnsi="Arial Narrow" w:eastAsia="Arial Narrow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  <w:bookmarkStart w:name="_Hlk19121211" w:id="0"/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3"/>
        <w:gridCol w:w="3030"/>
        <w:gridCol w:w="2079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396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</w:pPr>
            <w:r>
              <w:rPr>
                <w:rFonts w:ascii="Arial Narrow" w:hAnsi="Arial Narrow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1200-1300</w:t>
            </w:r>
          </w:p>
        </w:tc>
        <w:tc>
          <w:tcPr>
            <w:tcW w:type="dxa" w:w="3030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Lunch Break</w:t>
            </w:r>
          </w:p>
        </w:tc>
        <w:tc>
          <w:tcPr>
            <w:tcW w:type="dxa" w:w="207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fr-FR"/>
        </w:rPr>
        <w:t>1300-1330</w:t>
        <w:tab/>
        <w:t>Visite des locaux de l</w:t>
      </w:r>
      <w:r>
        <w:rPr>
          <w:rFonts w:ascii="Arial Narrow" w:hAnsi="Arial Narrow" w:hint="default"/>
          <w:b w:val="1"/>
          <w:bCs w:val="1"/>
          <w:rtl w:val="0"/>
          <w:lang w:val="fr-FR"/>
        </w:rPr>
        <w:t>’</w:t>
      </w:r>
      <w:r>
        <w:rPr>
          <w:rFonts w:ascii="Arial Narrow" w:hAnsi="Arial Narrow"/>
          <w:b w:val="1"/>
          <w:bCs w:val="1"/>
          <w:rtl w:val="0"/>
        </w:rPr>
        <w:t>h</w:t>
      </w:r>
      <w:r>
        <w:rPr>
          <w:rFonts w:ascii="Arial Narrow" w:hAnsi="Arial Narrow" w:hint="default"/>
          <w:b w:val="1"/>
          <w:bCs w:val="1"/>
          <w:rtl w:val="0"/>
          <w:lang w:val="fr-FR"/>
        </w:rPr>
        <w:t>ô</w:t>
      </w:r>
      <w:r>
        <w:rPr>
          <w:rFonts w:ascii="Arial Narrow" w:hAnsi="Arial Narrow"/>
          <w:b w:val="1"/>
          <w:bCs w:val="1"/>
          <w:rtl w:val="0"/>
        </w:rPr>
        <w:t>tel Lauzun</w:t>
      </w: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bookmarkEnd w:id="0"/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bookmarkStart w:name="_Hlk31907639" w:id="1"/>
      <w:r>
        <w:rPr>
          <w:rFonts w:ascii="Book Antiqua" w:hAnsi="Book Antiqua"/>
          <w:b w:val="1"/>
          <w:bCs w:val="1"/>
          <w:rtl w:val="0"/>
          <w:lang w:val="en-US"/>
        </w:rPr>
        <w:t>Session-03</w:t>
        <w:tab/>
        <w:t>Plenary Session</w:t>
        <w:tab/>
        <w:tab/>
        <w:t>[1330-1530 Hrs]</w:t>
        <w:tab/>
        <w:t xml:space="preserve">Venue: IEA, Paris </w:t>
      </w:r>
      <w:bookmarkEnd w:id="1"/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rPr>
          <w:rFonts w:ascii="Book Antiqua" w:cs="Book Antiqua" w:hAnsi="Book Antiqua" w:eastAsia="Book Antiqua"/>
          <w:b w:val="1"/>
          <w:bCs w:val="1"/>
          <w:lang w:val="en-US"/>
        </w:rPr>
      </w:pPr>
      <w:bookmarkStart w:name="_Hlk31907612" w:id="2"/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Treatment of dying patients: treatment waiver, treatment discontinuation, palliative care, sedation.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  <w:lang w:val="en-US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Traitement des patients en fin de vie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: refus et arr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t de traitement, Soins palliatifs, S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dation profonde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de-DE"/>
        </w:rPr>
        <w:t>Behandlung sterbender Patienten: Behandlungsverzicht, Behandlungsabbruch, Palliativpflege, Sedierung.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  <w:lang w:val="en-US"/>
        </w:rPr>
      </w:pPr>
      <w:bookmarkStart w:name="_Hlk31955036" w:id="3"/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fr-FR"/>
        </w:rPr>
        <w:t>Chair: Prof. Stephanie Rohlfing-Dijoux</w:t>
      </w:r>
      <w:bookmarkEnd w:id="3"/>
      <w:bookmarkEnd w:id="2"/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55"/>
        <w:gridCol w:w="4932"/>
        <w:gridCol w:w="2755"/>
      </w:tblGrid>
      <w:tr>
        <w:tblPrEx>
          <w:shd w:val="clear" w:color="auto" w:fill="cdd4e9"/>
        </w:tblPrEx>
        <w:trPr>
          <w:trHeight w:val="133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1330-1350</w:t>
            </w:r>
          </w:p>
        </w:tc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Living wills and end-of-life in German law; 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Directives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anticip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et la fin de vie en droit allemand;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Patientenverf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gung und Sterbehilfe im deutschen Recht.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Tobias Lettl,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Potsdam</w:t>
            </w:r>
          </w:p>
        </w:tc>
      </w:tr>
      <w:tr>
        <w:tblPrEx>
          <w:shd w:val="clear" w:color="auto" w:fill="cdd4e9"/>
        </w:tblPrEx>
        <w:trPr>
          <w:trHeight w:val="229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1350-1410</w:t>
            </w:r>
          </w:p>
        </w:tc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Deep and continuous sedation until death and the law of 2016;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dation profonde et continue jusqu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au 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è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–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loi du 2 f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vrier 2016 cr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ant de nouveaux droits en faveur des personnes en fin de vie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Tiefe und kontinuierliche Sedierung bis zum Tod und das Gesetz von 2016.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Sophie Garcelon, Risk management &amp; organisation en sant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1410-1430</w:t>
            </w:r>
          </w:p>
        </w:tc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palliative care plan in France: what results?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olor w:val="000000"/>
                <w:sz w:val="22"/>
                <w:szCs w:val="22"/>
                <w:u w:color="000000"/>
                <w:rtl w:val="0"/>
              </w:rPr>
            </w:pPr>
            <w:r>
              <w:rPr>
                <w:rFonts w:ascii="Arial Narrow" w:hAnsi="Arial Narrow"/>
                <w:rtl w:val="0"/>
                <w:lang w:val="fr-FR"/>
              </w:rPr>
              <w:t>L</w:t>
            </w:r>
            <w:r>
              <w:rPr>
                <w:rFonts w:ascii="Arial Narrow" w:hAnsi="Arial Narrow"/>
                <w:rtl w:val="0"/>
                <w:lang w:val="en-US"/>
              </w:rPr>
              <w:t>e plan sur les soins palliatifs en France : quel bilan?</w:t>
            </w:r>
            <w:r>
              <w:rPr>
                <w:rFonts w:ascii="Arial Narrow" w:hAnsi="Arial Narrow" w:hint="default"/>
                <w:rtl w:val="0"/>
                <w:lang w:val="en-US"/>
              </w:rPr>
              <w:t> 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Der Palliativpflegeplan in Frankreich: Was wurde erreicht?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Louis-Charles Viossat, Consultant en sant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et questions sociales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, enseignant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Science Po Paris</w:t>
            </w:r>
          </w:p>
          <w:p>
            <w:pPr>
              <w:pStyle w:val="Corps"/>
              <w:spacing w:after="120" w:line="240" w:lineRule="auto"/>
            </w:pP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33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1430-1450</w:t>
            </w:r>
          </w:p>
        </w:tc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Palliative care in Germany;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Les s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oins paliatifs en Allemagne;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Palliativpflege in Deutschland. 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Kerstin Peglow,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Paris Nanterre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1450-1530</w:t>
            </w:r>
          </w:p>
        </w:tc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Discussion</w:t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3"/>
        <w:gridCol w:w="3030"/>
        <w:gridCol w:w="2079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396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</w:pPr>
            <w:r>
              <w:rPr>
                <w:rFonts w:ascii="Arial Narrow" w:hAnsi="Arial Narrow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1530-1600</w:t>
            </w:r>
          </w:p>
        </w:tc>
        <w:tc>
          <w:tcPr>
            <w:tcW w:type="dxa" w:w="3030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Coffee Break</w:t>
            </w:r>
          </w:p>
        </w:tc>
        <w:tc>
          <w:tcPr>
            <w:tcW w:type="dxa" w:w="207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en-US"/>
        </w:rPr>
        <w:t>Session-04</w:t>
        <w:tab/>
        <w:t>Plenary Session</w:t>
        <w:tab/>
        <w:tab/>
        <w:t>[1600-1800 Hrs]</w:t>
        <w:tab/>
        <w:t xml:space="preserve">Venue: IEA, Paris </w:t>
      </w:r>
    </w:p>
    <w:p>
      <w:pPr>
        <w:pStyle w:val="Corps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Book Antiqua" w:cs="Book Antiqua" w:hAnsi="Book Antiqua" w:eastAsia="Book Antiqua"/>
          <w:b w:val="1"/>
          <w:bCs w:val="1"/>
          <w:color w:val="0070c0"/>
          <w:u w:color="0070c0"/>
          <w:lang w:val="en-US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Jurisdictionalization of the end of life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  <w:lang w:val="en-US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 xml:space="preserve">La juridictionnalisation de la fin de vie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de-DE"/>
        </w:rPr>
        <w:t>Die Verrechtlichung des Lebensendes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  <w:lang w:val="en-US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Chair: Prof. Kerstin Peglow</w:t>
      </w: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05"/>
        <w:gridCol w:w="5013"/>
        <w:gridCol w:w="2544"/>
      </w:tblGrid>
      <w:tr>
        <w:tblPrEx>
          <w:shd w:val="clear" w:color="auto" w:fill="cdd4e9"/>
        </w:tblPrEx>
        <w:trPr>
          <w:trHeight w:val="2770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1600-1620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Permission to purchase a medicament to commit suicide? The decisions of the German Federal Administrative Court of 2017 and of 2019 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L'autorisation de se procurer un 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dicament afin de se suicider? Les 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cisions de la Cour administrative f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rale allemande de 2017 et 2019;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Die Erlaubnis sich ein Medikament zum Selbstmord zu beschaffen? Die Entscheidungen des Bundesverwaltungsgericht aus den Jahren 2017 und 2019.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Birgit Daiber, Associate Prof. Seoul National University</w:t>
            </w:r>
          </w:p>
        </w:tc>
      </w:tr>
      <w:tr>
        <w:tblPrEx>
          <w:shd w:val="clear" w:color="auto" w:fill="cdd4e9"/>
        </w:tblPrEx>
        <w:trPr>
          <w:trHeight w:val="2050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1620-1640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Withdrawal of life-sustaining treatments in France : the Lambert case;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cision 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dicale 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arr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 de traitement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le cas Lambert en France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Abbruch der Behandlung: die Rechtsprechung im Fall Lambert in Frankreich.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Sabine Boussard,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Paris Nanterre </w:t>
            </w:r>
          </w:p>
        </w:tc>
      </w:tr>
      <w:tr>
        <w:tblPrEx>
          <w:shd w:val="clear" w:color="auto" w:fill="cdd4e9"/>
        </w:tblPrEx>
        <w:trPr>
          <w:trHeight w:val="1570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1640-1700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role of the end-of-life judge in France;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Le 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le de juge en fin de vie en France;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Die Rolle des Richters bei Fragen der Lebensbeendigung in Frankreich.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Guylene Nicolas, Assistant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Aix-Marseille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1700-1800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Discussion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bookmarkStart w:name="_Hlk19380889" w:id="4"/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en-US"/>
        </w:rPr>
        <w:t>18h Ap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>é</w:t>
      </w:r>
      <w:r>
        <w:rPr>
          <w:rFonts w:ascii="Book Antiqua" w:hAnsi="Book Antiqua"/>
          <w:b w:val="1"/>
          <w:bCs w:val="1"/>
          <w:rtl w:val="0"/>
          <w:lang w:val="fr-FR"/>
        </w:rPr>
        <w:t xml:space="preserve">ritif 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 xml:space="preserve">à </w:t>
      </w:r>
      <w:r>
        <w:rPr>
          <w:rFonts w:ascii="Book Antiqua" w:hAnsi="Book Antiqua"/>
          <w:b w:val="1"/>
          <w:bCs w:val="1"/>
          <w:rtl w:val="0"/>
        </w:rPr>
        <w:t>l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>’</w:t>
      </w:r>
      <w:r>
        <w:rPr>
          <w:rFonts w:ascii="Book Antiqua" w:hAnsi="Book Antiqua"/>
          <w:b w:val="1"/>
          <w:bCs w:val="1"/>
          <w:rtl w:val="0"/>
        </w:rPr>
        <w:t>IAE</w:t>
      </w:r>
      <w:bookmarkEnd w:id="4"/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center"/>
        <w:rPr>
          <w:rFonts w:ascii="Arial" w:cs="Arial" w:hAnsi="Arial" w:eastAsia="Arial"/>
          <w:b w:val="1"/>
          <w:bCs w:val="1"/>
          <w:color w:val="0070c0"/>
          <w:sz w:val="28"/>
          <w:szCs w:val="28"/>
          <w:u w:color="0070c0"/>
        </w:rPr>
      </w:pPr>
      <w:r>
        <w:rPr>
          <w:rFonts w:ascii="Arial" w:hAnsi="Arial"/>
          <w:b w:val="1"/>
          <w:bCs w:val="1"/>
          <w:color w:val="0070c0"/>
          <w:sz w:val="28"/>
          <w:szCs w:val="28"/>
          <w:u w:color="0070c0"/>
          <w:rtl w:val="0"/>
          <w:lang w:val="en-US"/>
        </w:rPr>
        <w:t>Day 2: 11 March 2020</w:t>
      </w: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bookmarkStart w:name="_Hlk25522504" w:id="5"/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fr-FR"/>
        </w:rPr>
        <w:t>Session-05</w:t>
        <w:tab/>
        <w:t>Venue: Universit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 xml:space="preserve">é </w:t>
      </w:r>
      <w:r>
        <w:rPr>
          <w:rFonts w:ascii="Book Antiqua" w:hAnsi="Book Antiqua"/>
          <w:b w:val="1"/>
          <w:bCs w:val="1"/>
          <w:rtl w:val="0"/>
          <w:lang w:val="fr-FR"/>
        </w:rPr>
        <w:t>Paris Nanterre B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>â</w:t>
      </w:r>
      <w:r>
        <w:rPr>
          <w:rFonts w:ascii="Book Antiqua" w:hAnsi="Book Antiqua"/>
          <w:b w:val="1"/>
          <w:bCs w:val="1"/>
          <w:rtl w:val="0"/>
          <w:lang w:val="es-ES_tradnl"/>
        </w:rPr>
        <w:t>t Max Weber, Salle de conf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>é</w:t>
      </w:r>
      <w:r>
        <w:rPr>
          <w:rFonts w:ascii="Book Antiqua" w:hAnsi="Book Antiqua"/>
          <w:b w:val="1"/>
          <w:bCs w:val="1"/>
          <w:rtl w:val="0"/>
          <w:lang w:val="fr-FR"/>
        </w:rPr>
        <w:t>rences</w:t>
      </w: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</w:pPr>
      <w:r>
        <w:rPr>
          <w:rFonts w:ascii="Book Antiqua" w:hAnsi="Book Antiqua"/>
          <w:b w:val="1"/>
          <w:bCs w:val="1"/>
          <w:rtl w:val="0"/>
          <w:lang w:val="en-US"/>
        </w:rPr>
        <w:t xml:space="preserve">Paper Presentations [930-1130 Hrs] </w:t>
        <w:tab/>
        <w:tab/>
        <w:t xml:space="preserve">Venue: Room     Chair: Ass. </w:t>
      </w:r>
      <w:r>
        <w:rPr>
          <w:rFonts w:ascii="Book Antiqua" w:hAnsi="Book Antiqua"/>
          <w:b w:val="1"/>
          <w:bCs w:val="1"/>
          <w:rtl w:val="0"/>
          <w:lang w:val="it-IT"/>
        </w:rPr>
        <w:t>Prof. Geraldine Demme</w:t>
      </w:r>
    </w:p>
    <w:p>
      <w:pPr>
        <w:pStyle w:val="Corps"/>
        <w:spacing w:after="120" w:line="240" w:lineRule="auto"/>
      </w:pPr>
    </w:p>
    <w:p>
      <w:pPr>
        <w:pStyle w:val="Corps"/>
        <w:spacing w:after="120" w:line="240" w:lineRule="auto"/>
        <w:rPr>
          <w:rFonts w:ascii="Times New Roman" w:cs="Times New Roman" w:hAnsi="Times New Roman" w:eastAsia="Times New Roman"/>
          <w:color w:val="222222"/>
          <w:u w:color="2222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 xml:space="preserve">Session Theme: Application of end-of-life rules to vulnerable persons/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  <w:lang w:val="en-US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Application de la l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gislation de fin de vie aux personnes vuln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 xml:space="preserve">rables/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Anwendung der Sterbehilfegesetzgebung auf besonders schutzbed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ü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rftige Personen.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Book Antiqua" w:cs="Book Antiqua" w:hAnsi="Book Antiqua" w:eastAsia="Book Antiqua"/>
          <w:b w:val="1"/>
          <w:bCs w:val="1"/>
          <w:color w:val="2e74b5"/>
          <w:u w:color="2e74b5"/>
          <w:lang w:val="en-US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  <w:lang w:val="en-US"/>
        </w:rPr>
      </w:pPr>
      <w:bookmarkEnd w:id="5"/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  <w:lang w:val="en-US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09"/>
        <w:gridCol w:w="5085"/>
        <w:gridCol w:w="2568"/>
      </w:tblGrid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930-950</w:t>
            </w:r>
          </w:p>
        </w:tc>
        <w:tc>
          <w:tcPr>
            <w:tcW w:type="dxa" w:w="5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End-of-life and terminal care for minors under German law.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 fin de vie et les soins en phase terminale pour mineurs selon la loi allemande;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Grundlagen der Sterbehilfe und Sterbebegleitung bei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Minderj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hrigen nach deutschem Recht.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Angie Schneider,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Potsdam</w:t>
            </w:r>
          </w:p>
        </w:tc>
      </w:tr>
      <w:tr>
        <w:tblPrEx>
          <w:shd w:val="clear" w:color="auto" w:fill="cdd4e9"/>
        </w:tblPrEx>
        <w:trPr>
          <w:trHeight w:val="2170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9050-1010</w:t>
            </w:r>
          </w:p>
        </w:tc>
        <w:tc>
          <w:tcPr>
            <w:tcW w:type="dxa" w:w="5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The Application of End-of-Life Legislation 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 Minors in France and Germany;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application de la 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gislation de fin-de-vie aux mineurs en France et en Allemagne;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Die Anwendung der Sterbehilfergesetzgebung auf Minderj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hrige.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Stephanie Rohlfing-Dijoux,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Paris Nanterre</w:t>
            </w:r>
          </w:p>
        </w:tc>
      </w:tr>
      <w:tr>
        <w:tblPrEx>
          <w:shd w:val="clear" w:color="auto" w:fill="cdd4e9"/>
        </w:tblPrEx>
        <w:trPr>
          <w:trHeight w:val="2290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1010-1030</w:t>
            </w:r>
          </w:p>
        </w:tc>
        <w:tc>
          <w:tcPr>
            <w:tcW w:type="dxa" w:w="5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Respecting the will of the vulnerable adult at the end of life: a comparative study of French and German law;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Le respect de la volont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du majeur vuln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rable en fin de vie :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tude compar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 des droits fran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ç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ais et allemands;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Der Respekt des Willens des betreuten Erwachsenen am Ende des Lebens: eine vergleichende Studie des franz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ö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sischen und deutschen Rechts.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Charles Walleit, Doctorant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Paris Nanterre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1030 - 1100</w:t>
            </w:r>
          </w:p>
        </w:tc>
        <w:tc>
          <w:tcPr>
            <w:tcW w:type="dxa" w:w="5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Discussion</w:t>
            </w:r>
          </w:p>
        </w:tc>
        <w:tc>
          <w:tcPr>
            <w:tcW w:type="dxa" w:w="2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  <w:lang w:val="en-US"/>
        </w:rPr>
      </w:pPr>
    </w:p>
    <w:p>
      <w:pPr>
        <w:pStyle w:val="Corps"/>
        <w:spacing w:after="120" w:line="240" w:lineRule="auto"/>
        <w:jc w:val="both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3"/>
        <w:gridCol w:w="3030"/>
        <w:gridCol w:w="2079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396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</w:pPr>
            <w:r>
              <w:rPr>
                <w:rFonts w:ascii="Book Antiqua" w:hAns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1100-1130</w:t>
            </w:r>
          </w:p>
        </w:tc>
        <w:tc>
          <w:tcPr>
            <w:tcW w:type="dxa" w:w="3030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Book Antiqua" w:hAnsi="Book Antiq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Tea-break</w:t>
            </w:r>
          </w:p>
        </w:tc>
        <w:tc>
          <w:tcPr>
            <w:tcW w:type="dxa" w:w="207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en-US"/>
        </w:rPr>
        <w:t>Session-06</w:t>
        <w:tab/>
        <w:t xml:space="preserve"> [1130 - 1300 Hrs] Venue: Universit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 xml:space="preserve">é </w:t>
      </w:r>
      <w:r>
        <w:rPr>
          <w:rFonts w:ascii="Book Antiqua" w:hAnsi="Book Antiqua"/>
          <w:b w:val="1"/>
          <w:bCs w:val="1"/>
          <w:rtl w:val="0"/>
          <w:lang w:val="fr-FR"/>
        </w:rPr>
        <w:t>Paris Nanterre B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>â</w:t>
      </w:r>
      <w:r>
        <w:rPr>
          <w:rFonts w:ascii="Book Antiqua" w:hAnsi="Book Antiqua"/>
          <w:b w:val="1"/>
          <w:bCs w:val="1"/>
          <w:rtl w:val="0"/>
          <w:lang w:val="es-ES_tradnl"/>
        </w:rPr>
        <w:t>t Max Weber, Salle de conf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>é</w:t>
      </w:r>
      <w:r>
        <w:rPr>
          <w:rFonts w:ascii="Book Antiqua" w:hAnsi="Book Antiqua"/>
          <w:b w:val="1"/>
          <w:bCs w:val="1"/>
          <w:rtl w:val="0"/>
          <w:lang w:val="fr-FR"/>
        </w:rPr>
        <w:t>rences</w:t>
      </w: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</w:pPr>
    </w:p>
    <w:p>
      <w:pPr>
        <w:pStyle w:val="Corps"/>
        <w:spacing w:after="120" w:line="240" w:lineRule="auto"/>
        <w:rPr>
          <w:rFonts w:ascii="Times New Roman" w:cs="Times New Roman" w:hAnsi="Times New Roman" w:eastAsia="Times New Roman"/>
          <w:color w:val="222222"/>
          <w:u w:color="222222"/>
        </w:rPr>
      </w:pPr>
      <w:bookmarkStart w:name="_Hlk31908912" w:id="6"/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Clarifying the boundaries between assisted suicide and other forms of ending one's own life;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  <w:lang w:val="en-US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Kl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ä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rung der Grenzen zwischen assistiertem Suizid und anderen Formen der Beendigung des eignen Lebens;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  <w:lang w:val="en-US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Clarification des fronti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res entre l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assistance m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dicale au suicide et d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autres proc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s de fin de vie.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</w:pPr>
      <w:r>
        <w:rPr>
          <w:rFonts w:ascii="Book Antiqua" w:hAnsi="Book Antiqua"/>
          <w:b w:val="1"/>
          <w:bCs w:val="1"/>
          <w:rtl w:val="0"/>
          <w:lang w:val="fr-FR"/>
        </w:rPr>
        <w:t>Chair: Prof. Stephanie Rohlfing-Dijoux</w:t>
      </w: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88"/>
        <w:gridCol w:w="5299"/>
        <w:gridCol w:w="2755"/>
      </w:tblGrid>
      <w:tr>
        <w:tblPrEx>
          <w:shd w:val="clear" w:color="auto" w:fill="cdd4e9"/>
        </w:tblPrEx>
        <w:trPr>
          <w:trHeight w:val="205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1130-1150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Euthanasia and Physician Assisted Suicide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/>
              </w:rPr>
              <w:br w:type="textWrapping"/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Comparative Legal Perspective;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Euthanasie et suicide 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dicalement assist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 une perspective de droit compar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Euthanisie und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rztlich assistierter Suizid - eine rechtsvergleichende Perspektive.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Volker Lipp, Prof. Georg-August-Universit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G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ö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ttingen</w:t>
            </w:r>
          </w:p>
        </w:tc>
      </w:tr>
      <w:tr>
        <w:tblPrEx>
          <w:shd w:val="clear" w:color="auto" w:fill="cdd4e9"/>
        </w:tblPrEx>
        <w:trPr>
          <w:trHeight w:val="205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1150-1210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Strengthening of patient autonomy in the medically assisted suicide by the 5th Criminal Senate of the BGH;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Le renforcement de l'autonomie des patients dans le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suicide 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dicalement assist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par le 5e 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nat p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nal du BGH;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St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rkung der Patientenautonomie bei dem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rztlich assistierten Suizid durch den 5. Strafsenat des BGH.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Uwe Hellmann,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 Potsdam</w:t>
            </w:r>
          </w:p>
        </w:tc>
      </w:tr>
      <w:tr>
        <w:tblPrEx>
          <w:shd w:val="clear" w:color="auto" w:fill="cdd4e9"/>
        </w:tblPrEx>
        <w:trPr>
          <w:trHeight w:val="133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1210-1230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Assisted Dying under Swiss Law;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assistance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mort 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apr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la loi Suisse;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Sterbehilde nach Schweizer Recht.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Geraldine Demme, Assistant Prof. 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Paris Nanterre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1230-1300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Discussion</w:t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3"/>
        <w:gridCol w:w="3030"/>
        <w:gridCol w:w="2079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396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</w:pPr>
            <w:r>
              <w:rPr>
                <w:rFonts w:ascii="Book Antiqua" w:hAns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1300-1430</w:t>
            </w:r>
          </w:p>
        </w:tc>
        <w:tc>
          <w:tcPr>
            <w:tcW w:type="dxa" w:w="3030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Book Antiqua" w:hAnsi="Book Antiqu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Lunch Break</w:t>
            </w:r>
          </w:p>
        </w:tc>
        <w:tc>
          <w:tcPr>
            <w:tcW w:type="dxa" w:w="207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fr-FR"/>
        </w:rPr>
        <w:t>Session-07</w:t>
        <w:tab/>
        <w:t xml:space="preserve"> [1430 - 1800 Hrs] </w:t>
        <w:tab/>
        <w:t>Venue: Universit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 xml:space="preserve">é </w:t>
      </w:r>
      <w:r>
        <w:rPr>
          <w:rFonts w:ascii="Book Antiqua" w:hAnsi="Book Antiqua"/>
          <w:b w:val="1"/>
          <w:bCs w:val="1"/>
          <w:rtl w:val="0"/>
          <w:lang w:val="fr-FR"/>
        </w:rPr>
        <w:t>Paris Nanterre B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>â</w:t>
      </w:r>
      <w:r>
        <w:rPr>
          <w:rFonts w:ascii="Book Antiqua" w:hAnsi="Book Antiqua"/>
          <w:b w:val="1"/>
          <w:bCs w:val="1"/>
          <w:rtl w:val="0"/>
          <w:lang w:val="es-ES_tradnl"/>
        </w:rPr>
        <w:t>t Max Weber, Salle de conf</w:t>
      </w:r>
      <w:r>
        <w:rPr>
          <w:rFonts w:ascii="Book Antiqua" w:hAnsi="Book Antiqua" w:hint="default"/>
          <w:b w:val="1"/>
          <w:bCs w:val="1"/>
          <w:rtl w:val="0"/>
          <w:lang w:val="fr-FR"/>
        </w:rPr>
        <w:t>é</w:t>
      </w:r>
      <w:r>
        <w:rPr>
          <w:rFonts w:ascii="Book Antiqua" w:hAnsi="Book Antiqua"/>
          <w:b w:val="1"/>
          <w:bCs w:val="1"/>
          <w:rtl w:val="0"/>
          <w:lang w:val="fr-FR"/>
        </w:rPr>
        <w:t xml:space="preserve">rences  </w:t>
      </w:r>
    </w:p>
    <w:p>
      <w:pPr>
        <w:pStyle w:val="Corps"/>
        <w:spacing w:after="120" w:line="240" w:lineRule="auto"/>
        <w:jc w:val="both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Times New Roman" w:cs="Times New Roman" w:hAnsi="Times New Roman" w:eastAsia="Times New Roman"/>
          <w:color w:val="2e74b5"/>
          <w:u w:color="2e74b5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en-US"/>
        </w:rPr>
        <w:t>Comparative Law Perspectives on End-of-Life Legislation;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  <w:lang w:val="en-US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Regards de droit compar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sur les l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 xml:space="preserve">gislations relatives 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 xml:space="preserve">la fin de vie </w:t>
      </w:r>
      <w:r>
        <w:rPr>
          <w:rFonts w:ascii="Times New Roman" w:hAnsi="Times New Roman" w:hint="default"/>
          <w:b w:val="1"/>
          <w:bCs w:val="1"/>
          <w:color w:val="2e74b5"/>
          <w:sz w:val="24"/>
          <w:szCs w:val="24"/>
          <w:u w:color="2e74b5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</w:rPr>
        <w:t>;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e74b5"/>
          <w:sz w:val="24"/>
          <w:szCs w:val="24"/>
          <w:u w:color="2e74b5"/>
        </w:rPr>
      </w:pPr>
      <w:r>
        <w:rPr>
          <w:rFonts w:ascii="Times New Roman" w:hAnsi="Times New Roman"/>
          <w:b w:val="1"/>
          <w:bCs w:val="1"/>
          <w:color w:val="2e74b5"/>
          <w:sz w:val="24"/>
          <w:szCs w:val="24"/>
          <w:u w:color="2e74b5"/>
          <w:rtl w:val="0"/>
          <w:lang w:val="de-DE"/>
        </w:rPr>
        <w:t>Rechtsvergleichende Perspektiven zu der Sterbehilfegesetzgebung.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jc w:val="center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</w:pPr>
      <w:r>
        <w:rPr>
          <w:rFonts w:ascii="Book Antiqua" w:hAnsi="Book Antiqua"/>
          <w:b w:val="1"/>
          <w:bCs w:val="1"/>
          <w:rtl w:val="0"/>
          <w:lang w:val="fr-FR"/>
        </w:rPr>
        <w:t>Chair: Prof. Sabine Boussard</w:t>
      </w: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88"/>
        <w:gridCol w:w="5299"/>
        <w:gridCol w:w="2755"/>
      </w:tblGrid>
      <w:tr>
        <w:tblPrEx>
          <w:shd w:val="clear" w:color="auto" w:fill="cdd4e9"/>
        </w:tblPrEx>
        <w:trPr>
          <w:trHeight w:val="277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1430-1450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Recognizing Right of choosing to die as a religious practice: Religious freedom or mental illness!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An analysis from legal and Constitutional Perspective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reconnaissance du droit de choisir de mourir en tant que pratique religieuse : Libert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religieuse ou maladie mentale ! Une analyse du point de vue juridique et constitutionnel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Die Anerkennung des Rechts, den Tod zu w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hlen, als eine religi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ö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se Praxis: Religionsfreiheit oder Geisteskrankheit! Eine Analyse aus rechtlicher und verfassungsrechtlicher Sicht.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Anand Raut, Assistant Prof. Maharashtra National Law University Mumbai</w:t>
            </w:r>
          </w:p>
        </w:tc>
      </w:tr>
      <w:tr>
        <w:tblPrEx>
          <w:shd w:val="clear" w:color="auto" w:fill="cdd4e9"/>
        </w:tblPrEx>
        <w:trPr>
          <w:trHeight w:val="277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1450-1510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Hard law, soft law or self-discipline, which regulation for the medical practices and procedures : example of end of life medicine in Japan;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Hard law, soft law ou bonnes pratiques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la 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glementation des pratiques et proc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dures 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dicales 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–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exemple de la m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decine de fin de vie au Japon 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Hard law, soft law oder Selbstdisziplin, die die medizinischen Praktiken und Verfahren regeln: Beispiel der End-of-Life Medizin in Japan..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Prof. Tetsu ISOBE,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Keio;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Haluna KAWASHIMA,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Assistant Prof. Universit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Teikyo, Tokyo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dd4e9"/>
        </w:tblPrEx>
        <w:trPr>
          <w:trHeight w:val="181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1510-1530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legal framework of the end of life in France and Germany;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L'encadrement juridique de la fin de vie en France et en Allemagne;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Der rechtliche Rahmen f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 das Ende des Lebens in Frankreich und Deutschland.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Laurie Marguet,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MCF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 w:hAnsi="Arial Narrow"/>
                <w:rtl w:val="0"/>
                <w:lang w:val="en-US"/>
              </w:rPr>
              <w:t>Universit</w:t>
            </w:r>
            <w:r>
              <w:rPr>
                <w:rFonts w:ascii="Arial Narrow" w:hAnsi="Arial Narrow" w:hint="default"/>
                <w:rtl w:val="0"/>
                <w:lang w:val="en-US"/>
              </w:rPr>
              <w:t xml:space="preserve">é </w:t>
            </w:r>
            <w:r>
              <w:rPr>
                <w:rFonts w:ascii="Arial Narrow" w:hAnsi="Arial Narrow"/>
                <w:rtl w:val="0"/>
                <w:lang w:val="en-US"/>
              </w:rPr>
              <w:t>Paris-Est Cr</w:t>
            </w:r>
            <w:r>
              <w:rPr>
                <w:rFonts w:ascii="Arial Narrow" w:hAnsi="Arial Narrow" w:hint="default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rtl w:val="0"/>
                <w:lang w:val="en-US"/>
              </w:rPr>
              <w:t>teil Val de Marne</w:t>
            </w:r>
            <w:r>
              <w:rPr>
                <w:rFonts w:ascii="Arial Narrow" w:cs="Arial Narrow" w:hAnsi="Arial Narrow" w:eastAsia="Arial Narrow"/>
                <w:sz w:val="22"/>
                <w:szCs w:val="22"/>
                <w:u w:color="000000"/>
              </w:rPr>
            </w:r>
          </w:p>
        </w:tc>
      </w:tr>
      <w:tr>
        <w:tblPrEx>
          <w:shd w:val="clear" w:color="auto" w:fill="cdd4e9"/>
        </w:tblPrEx>
        <w:trPr>
          <w:trHeight w:val="205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1530-1550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Diagnosis of Death in British ICUs: Why Parliament Should Legislate ? 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Diagnostic de d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dans les unit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de soins intensifs britanniques : Pourquoi le Parlement devrait-il l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gif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? ;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Diagnose des Todes auf britischen Intensivstationen: Warum das Parlament gesetzgeberisch t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ä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tig werden sollte ? </w:t>
            </w:r>
            <w:r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Kartina Choong, Associate Professor, University of Central Lancashire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1550-1730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Table ronde sur le droit compar</w:t>
            </w:r>
            <w:r>
              <w:rPr>
                <w:rFonts w:ascii="Arial Narrow" w:hAnsi="Arial Narrow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é – </w:t>
            </w: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round table on comparative law</w:t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Book Antiqua" w:hAnsi="Book Antiqu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1730-1800</w:t>
            </w:r>
          </w:p>
        </w:tc>
        <w:tc>
          <w:tcPr>
            <w:tcW w:type="dxa" w:w="5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120" w:line="240" w:lineRule="auto"/>
              <w:jc w:val="both"/>
            </w:pPr>
            <w:r>
              <w:rPr>
                <w:rFonts w:ascii="Arial Narrow" w:hAns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Propos conclusifs - conclusion</w:t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Corps"/>
        <w:spacing w:after="12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Diner de cl</w:t>
      </w:r>
      <w:r>
        <w:rPr>
          <w:rFonts w:ascii="Arial" w:hAnsi="Arial" w:hint="default"/>
          <w:b w:val="1"/>
          <w:bCs w:val="1"/>
          <w:rtl w:val="0"/>
          <w:lang w:val="fr-FR"/>
        </w:rPr>
        <w:t>ô</w:t>
      </w:r>
      <w:r>
        <w:rPr>
          <w:rFonts w:ascii="Arial" w:hAnsi="Arial"/>
          <w:b w:val="1"/>
          <w:bCs w:val="1"/>
          <w:rtl w:val="0"/>
          <w:lang w:val="fr-FR"/>
        </w:rPr>
        <w:t>ture</w:t>
      </w:r>
    </w:p>
    <w:p>
      <w:pPr>
        <w:pStyle w:val="Corps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38135"/>
          <w:sz w:val="24"/>
          <w:szCs w:val="24"/>
          <w:u w:val="single" w:color="538135"/>
        </w:rPr>
        <w:br w:type="page"/>
      </w:r>
    </w:p>
    <w:p>
      <w:pPr>
        <w:pStyle w:val="Corps"/>
        <w:spacing w:after="200" w:line="276" w:lineRule="auto"/>
        <w:rPr>
          <w:rFonts w:ascii="Times New Roman" w:cs="Times New Roman" w:hAnsi="Times New Roman" w:eastAsia="Times New Roman"/>
          <w:b w:val="1"/>
          <w:bCs w:val="1"/>
          <w:color w:val="538135"/>
          <w:sz w:val="24"/>
          <w:szCs w:val="24"/>
          <w:u w:val="single" w:color="538135"/>
        </w:rPr>
      </w:pPr>
    </w:p>
    <w:p>
      <w:pPr>
        <w:pStyle w:val="Corps"/>
        <w:spacing w:after="200" w:line="276" w:lineRule="auto"/>
        <w:rPr>
          <w:rFonts w:ascii="Book Antiqua" w:cs="Book Antiqua" w:hAnsi="Book Antiqua" w:eastAsia="Book Antiqua"/>
          <w:b w:val="1"/>
          <w:bCs w:val="1"/>
        </w:rPr>
      </w:pPr>
      <w:r>
        <w:rPr>
          <w:rFonts w:ascii="Times New Roman" w:hAnsi="Times New Roman"/>
          <w:b w:val="1"/>
          <w:bCs w:val="1"/>
          <w:color w:val="538135"/>
          <w:sz w:val="24"/>
          <w:szCs w:val="24"/>
          <w:u w:val="single" w:color="538135"/>
          <w:rtl w:val="0"/>
          <w:lang w:val="en-US"/>
        </w:rPr>
        <w:t>Themes of the conference: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Death and dignity in constitutional law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Palliative care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End-of-life policy for vulnerable persons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Need for Law Reforms  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538135"/>
          <w:sz w:val="24"/>
          <w:szCs w:val="24"/>
          <w:u w:val="single" w:color="538135"/>
        </w:rPr>
      </w:pPr>
      <w:r>
        <w:rPr>
          <w:rFonts w:ascii="Times New Roman" w:hAnsi="Times New Roman"/>
          <w:b w:val="1"/>
          <w:bCs w:val="1"/>
          <w:color w:val="538135"/>
          <w:sz w:val="24"/>
          <w:szCs w:val="24"/>
          <w:u w:val="single" w:color="538135"/>
          <w:rtl w:val="0"/>
          <w:lang w:val="en-US"/>
        </w:rPr>
        <w:t xml:space="preserve"> Important: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2832" w:hanging="2832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Venue 10 March 2020: </w:t>
        <w:tab/>
        <w:t>Institut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Etudes Avanc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es,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tel de Lauzun, 17 quai d'Anjou, 75004 Paris +33(0)1 56 81 00 52</w:t>
      </w:r>
    </w:p>
    <w:p>
      <w:pPr>
        <w:pStyle w:val="List Paragraph"/>
        <w:spacing w:after="0" w:line="240" w:lineRule="auto"/>
        <w:ind w:left="2832" w:hanging="2832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</w:p>
    <w:p>
      <w:pPr>
        <w:pStyle w:val="List Paragraph"/>
        <w:spacing w:after="0" w:line="240" w:lineRule="auto"/>
        <w:ind w:left="2832" w:hanging="2832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Venue 11 March 2020:</w:t>
        <w:tab/>
        <w:t>Universit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Paris Nanterre,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timent Max Weber, 200, avenue de la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publique, 92001 Nanterre Cedex 01</w:t>
      </w:r>
    </w:p>
    <w:p>
      <w:pPr>
        <w:pStyle w:val="List Paragraph"/>
        <w:spacing w:after="0" w:line="240" w:lineRule="auto"/>
        <w:ind w:left="2832" w:hanging="2832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Time: </w:t>
        <w:tab/>
        <w:tab/>
        <w:t>Reporting and Registration at 9:00 am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</w:t>
        <w:tab/>
        <w:tab/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11 March 20120 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after="0" w:line="240" w:lineRule="auto"/>
        <w:ind w:left="2160" w:hanging="216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538135"/>
          <w:sz w:val="24"/>
          <w:szCs w:val="24"/>
          <w:u w:val="single" w:color="538135"/>
          <w:rtl w:val="0"/>
          <w:lang w:val="en-US"/>
        </w:rPr>
        <w:t>Registration, etc.: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There is no registration fee charged, and lunch and snacks shall be provided on the days of the conference. There is a provision for travel and accommodation for the selected delegates.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538135"/>
          <w:sz w:val="24"/>
          <w:szCs w:val="24"/>
          <w:u w:color="538135"/>
          <w:lang w:val="en-US"/>
        </w:rPr>
      </w:pP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color w:val="538135"/>
          <w:sz w:val="24"/>
          <w:szCs w:val="24"/>
          <w:u w:val="single" w:color="538135"/>
          <w:rtl w:val="0"/>
          <w:lang w:val="en-US"/>
        </w:rPr>
        <w:t>Conference Convenors: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 </w:t>
      </w:r>
    </w:p>
    <w:p>
      <w:pPr>
        <w:pStyle w:val="Corps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43"/>
        <w:gridCol w:w="4823"/>
      </w:tblGrid>
      <w:tr>
        <w:tblPrEx>
          <w:shd w:val="clear" w:color="auto" w:fill="cdd4e9"/>
        </w:tblPrEx>
        <w:trPr>
          <w:trHeight w:val="1083" w:hRule="atLeast"/>
        </w:trPr>
        <w:tc>
          <w:tcPr>
            <w:tcW w:type="dxa" w:w="424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960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2880" w:hanging="2880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38135"/>
                <w:spacing w:val="0"/>
                <w:kern w:val="0"/>
                <w:position w:val="0"/>
                <w:sz w:val="24"/>
                <w:szCs w:val="24"/>
                <w:u w:val="none" w:color="538135"/>
                <w:vertAlign w:val="baseline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38135"/>
                <w:spacing w:val="0"/>
                <w:kern w:val="0"/>
                <w:position w:val="0"/>
                <w:sz w:val="24"/>
                <w:szCs w:val="24"/>
                <w:u w:val="none" w:color="538135"/>
                <w:vertAlign w:val="baseline"/>
                <w:rtl w:val="0"/>
                <w:lang w:val="en-US"/>
              </w:rPr>
              <w:t>Prof. Stephanie Rohlfing-Dijoux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University Paris Nanterre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srohlfingdijoux@parisnanterre.fr</w:t>
            </w:r>
          </w:p>
        </w:tc>
        <w:tc>
          <w:tcPr>
            <w:tcW w:type="dxa" w:w="48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38135"/>
                <w:spacing w:val="0"/>
                <w:kern w:val="0"/>
                <w:position w:val="0"/>
                <w:sz w:val="24"/>
                <w:szCs w:val="24"/>
                <w:u w:val="none" w:color="538135"/>
                <w:vertAlign w:val="baseline"/>
                <w:rtl w:val="0"/>
                <w:lang w:val="en-US"/>
              </w:rPr>
              <w:t>Prof. (Dr.) Uwe Hellmann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University Potsdam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uwe.hellmann@uni-potsdam.de</w:t>
            </w:r>
          </w:p>
        </w:tc>
      </w:tr>
    </w:tbl>
    <w:p>
      <w:pPr>
        <w:pStyle w:val="Corps"/>
        <w:widowControl w:val="0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r>
      <w:bookmarkEnd w:id="6"/>
    </w:p>
    <w:sectPr>
      <w:headerReference w:type="default" r:id="rId9"/>
      <w:footerReference w:type="default" r:id="rId10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0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Strong">
    <w:name w:val="Strong"/>
    <w:rPr>
      <w:rFonts w:ascii="Calibri" w:cs="Calibri" w:hAnsi="Calibri" w:eastAsia="Calibri"/>
      <w:b w:val="1"/>
      <w:bCs w:val="1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